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color w:val="4a452a"/>
          <w:sz w:val="28"/>
          <w:szCs w:val="28"/>
        </w:rPr>
      </w:pPr>
      <w:r w:rsidDel="00000000" w:rsidR="00000000" w:rsidRPr="00000000">
        <w:rPr>
          <w:b w:val="1"/>
          <w:color w:val="4a452a"/>
          <w:sz w:val="33"/>
          <w:szCs w:val="33"/>
          <w:rtl w:val="0"/>
        </w:rPr>
        <w:t xml:space="preserve">Convocatoria “Team LATAM II” - Mars Desert Research Station </w:t>
        <w:br w:type="textWrapping"/>
      </w:r>
      <w:r w:rsidDel="00000000" w:rsidR="00000000" w:rsidRPr="00000000">
        <w:rPr>
          <w:b w:val="1"/>
          <w:color w:val="4a452a"/>
          <w:sz w:val="28"/>
          <w:szCs w:val="28"/>
          <w:rtl w:val="0"/>
        </w:rPr>
        <w:t xml:space="preserve">“Tripulación 188 – Enero 13 – Enero 28, 2018”</w:t>
      </w:r>
    </w:p>
    <w:p w:rsidR="00000000" w:rsidDel="00000000" w:rsidP="00000000" w:rsidRDefault="00000000" w:rsidRPr="00000000">
      <w:pPr>
        <w:pBdr/>
        <w:contextualSpacing w:val="0"/>
        <w:jc w:val="center"/>
        <w:rPr>
          <w:b w:val="1"/>
          <w:sz w:val="32"/>
          <w:szCs w:val="32"/>
        </w:rPr>
      </w:pPr>
      <w:r w:rsidDel="00000000" w:rsidR="00000000" w:rsidRPr="00000000">
        <w:rPr>
          <w:rtl w:val="0"/>
        </w:rPr>
      </w:r>
    </w:p>
    <w:p w:rsidR="00000000" w:rsidDel="00000000" w:rsidP="00000000" w:rsidRDefault="00000000" w:rsidRPr="00000000">
      <w:pPr>
        <w:pBdr/>
        <w:contextualSpacing w:val="0"/>
        <w:rPr>
          <w:b w:val="1"/>
          <w:color w:val="4a452a"/>
          <w:sz w:val="28"/>
          <w:szCs w:val="28"/>
        </w:rPr>
      </w:pPr>
      <w:r w:rsidDel="00000000" w:rsidR="00000000" w:rsidRPr="00000000">
        <w:rPr>
          <w:b w:val="1"/>
          <w:color w:val="4a452a"/>
          <w:sz w:val="28"/>
          <w:szCs w:val="28"/>
          <w:rtl w:val="0"/>
        </w:rPr>
        <w:t xml:space="preserve">Introducción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Mars Society Perú (TMSP) es una organización sin fines de lucro asociada a The Mars Society de EE.UU comprometida con el desarrollo de las ciencias espaciales en el Perú y Latinoamérica. La organización actúa como rama representante de The Mars Society a nivel de Perú y Latinoamérica, y tiene a su cargo la selección de miembros para las tripulaciones de los programas “Team Peru” y “Team Latam” que se realiza anualmente, donde los jóvenes seleccionados participan de una rotación de dos a tres semanas en una estación de investigación en un análogo al planeta Marte (MDRS), en el desierto de Utah – USA.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base MDRS es un conjunto de instalaciones diseñadas para simular misiones de exploración tripulada al planeta Marte, se encuentra ubicada en el desierto de Utah, en Estados Unidos, que es un lugar reconocido como análogo marciano. En este lugar se han  llevado diversos proyectos relacionados tanto con la exploración espacial, como con áreas artísticas como escritura de libros y rodaje de documentales y películas sobre el planeta Marte.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color w:val="4a452a"/>
          <w:sz w:val="28"/>
          <w:szCs w:val="28"/>
        </w:rPr>
      </w:pPr>
      <w:r w:rsidDel="00000000" w:rsidR="00000000" w:rsidRPr="00000000">
        <w:rPr>
          <w:b w:val="1"/>
          <w:color w:val="4a452a"/>
          <w:sz w:val="28"/>
          <w:szCs w:val="28"/>
          <w:rtl w:val="0"/>
        </w:rPr>
        <w:t xml:space="preserve">Antecedentes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El programa “Team Peru” nació en el año 2013 cuando Alejandro Diaz, peruano que trabaja en la rama aeroespacial de Boeing, logra un convenio con The Mars Society (TMS) para formar un equipo conformado solo por jóvenes peruanos para participar en la base MDRS, esta tripulación fue llamada Team Peru, con quienes luego se estableció este capítulo peruano de TMS.  A partir de entonces, cada año se ha enviado una tripulación a este análogo tras pasar por un proceso de selección a cargo de TMSP; cada tripulación llevando el nombre “Team Peru” acompañado de un número en romano según el número de tripulaciones que han ido.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En 2016 el programa Team Peru se amplió a Latinoamérica, llevando a jóvenes de otros países como Argentina, Colombia y Costa Rica (Team Peru IV); luego de esto se logró un segundo convenio con lo cual se creó el programa “Team Latam” que tuvo su primera rotación durante mayo del 2017, agregando a México entre los países participantes.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b w:val="1"/>
          <w:color w:val="4a452a"/>
          <w:sz w:val="28"/>
          <w:szCs w:val="28"/>
        </w:rPr>
      </w:pPr>
      <w:r w:rsidDel="00000000" w:rsidR="00000000" w:rsidRPr="00000000">
        <w:rPr>
          <w:b w:val="1"/>
          <w:color w:val="4a452a"/>
          <w:sz w:val="28"/>
          <w:szCs w:val="28"/>
          <w:rtl w:val="0"/>
        </w:rPr>
        <w:t xml:space="preserve">Objetivos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El objetivo de los programas “Team Peru” y “Team Latam”, es el brindar a jóvenes universitarios o profesionales, con interés en desarrollarse en las áreas espaciales, la oportunidad de participar de este programa de simulación y que puedan tener un mejor conocimiento de los factores implicados en la exploración de otros planetas así como del desarrollo de proyectos en ciencias espaciales.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color w:val="4a452a"/>
          <w:sz w:val="28"/>
          <w:szCs w:val="28"/>
        </w:rPr>
      </w:pPr>
      <w:r w:rsidDel="00000000" w:rsidR="00000000" w:rsidRPr="00000000">
        <w:rPr>
          <w:b w:val="1"/>
          <w:color w:val="4a452a"/>
          <w:sz w:val="28"/>
          <w:szCs w:val="28"/>
          <w:rtl w:val="0"/>
        </w:rPr>
        <w:t xml:space="preserve">Bases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 tripulación constará de 6 miembros que serán seleccionados en base a tres criterios presentados a continuación. Además, se seleccionarán 2 miembros de reserva en caso de que los primeros seleccionados no sean capaces de participar.</w:t>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426" w:right="0" w:hanging="360"/>
        <w:jc w:val="both"/>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Requisitos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Proponer un proyecto a implementarse durante las dos semanas que dure su estadía en MDRS.</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postulante debe ser un estudiante universitario o profesional de cualquier carrera.</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postulante debe acreditar un nivel de inglés intermedio.</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postulante debe encontrarse en buena condición física.</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postulante debe poder solventar los gastos de movilización y estadía en MDRS, sea autofinanciado o a través de instituciones.</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postulante deberá contar o poder tramitar una Visa a los Estados Unidos y un seguro internacional.</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Es recomendable, mas no obligatorio:</w:t>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Tener experiencia en temas espaciales y expediciones científicas.</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Tener conocimiento sobre primeros auxilios, cocina, reparación de equipos, licencia de conducir y saber manejar vehículos todo terreno.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426" w:right="0" w:hanging="360"/>
        <w:jc w:val="both"/>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Costos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Cada miembro de la tripulación deberá costear u obtener financiamiento  de instituciones o empresas para cubrir la movilización a Estados Unidos (GDJ: Grand Junction, CO), y el costo del programa, el cual incluye:</w:t>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transporte desde Grand Junction a la base MDRS y el regreso.</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Alimentación durante el periodo de estadía.</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Mantenimiento de agua, calefacción y electricidad de la base.</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Uso de las instalaciones y equipos: Laboratorio, invernadero, observatorio y ATVs (cuatrimotos).</w:t>
      </w:r>
      <w:r w:rsidDel="00000000" w:rsidR="00000000" w:rsidRPr="00000000">
        <w:rPr>
          <w:rtl w:val="0"/>
        </w:rPr>
      </w:r>
    </w:p>
    <w:p w:rsidR="00000000" w:rsidDel="00000000" w:rsidP="00000000" w:rsidRDefault="00000000" w:rsidRPr="00000000">
      <w:pPr>
        <w:pBdr/>
        <w:ind w:left="491" w:firstLine="0"/>
        <w:contextualSpacing w:val="0"/>
        <w:jc w:val="both"/>
        <w:rPr/>
      </w:pPr>
      <w:r w:rsidDel="00000000" w:rsidR="00000000" w:rsidRPr="00000000">
        <w:rPr>
          <w:rtl w:val="0"/>
        </w:rPr>
      </w:r>
    </w:p>
    <w:p w:rsidR="00000000" w:rsidDel="00000000" w:rsidP="00000000" w:rsidRDefault="00000000" w:rsidRPr="00000000">
      <w:pPr>
        <w:pBdr/>
        <w:ind w:left="491" w:firstLine="0"/>
        <w:contextualSpacing w:val="0"/>
        <w:jc w:val="both"/>
        <w:rPr/>
      </w:pPr>
      <w:r w:rsidDel="00000000" w:rsidR="00000000" w:rsidRPr="00000000">
        <w:rPr>
          <w:rtl w:val="0"/>
        </w:rPr>
        <w:t xml:space="preserve">No se encuentra cubierto por estos pagos:</w:t>
      </w:r>
    </w:p>
    <w:p w:rsidR="00000000" w:rsidDel="00000000" w:rsidP="00000000" w:rsidRDefault="00000000" w:rsidRPr="00000000">
      <w:pPr>
        <w:pBdr/>
        <w:ind w:left="491"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Costos de combustible por transporte fuera de la simulación.</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Gastos médicos (Debe obtenerse un seguro internacional)</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Estadías y alimentación fuera del periodo de simulación.</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Gastos por materiales para proyectos que no estén disponibles en MDRS.</w:t>
      </w:r>
      <w:r w:rsidDel="00000000" w:rsidR="00000000" w:rsidRPr="00000000">
        <w:rPr>
          <w:rtl w:val="0"/>
        </w:rPr>
      </w:r>
    </w:p>
    <w:p w:rsidR="00000000" w:rsidDel="00000000" w:rsidP="00000000" w:rsidRDefault="00000000" w:rsidRPr="00000000">
      <w:pPr>
        <w:pBdr/>
        <w:ind w:left="426" w:firstLine="0"/>
        <w:contextualSpacing w:val="0"/>
        <w:jc w:val="both"/>
        <w:rPr/>
      </w:pPr>
      <w:r w:rsidDel="00000000" w:rsidR="00000000" w:rsidRPr="00000000">
        <w:rPr>
          <w:rtl w:val="0"/>
        </w:rPr>
      </w:r>
    </w:p>
    <w:p w:rsidR="00000000" w:rsidDel="00000000" w:rsidP="00000000" w:rsidRDefault="00000000" w:rsidRPr="00000000">
      <w:pPr>
        <w:pBdr/>
        <w:ind w:left="426" w:firstLine="0"/>
        <w:contextualSpacing w:val="0"/>
        <w:jc w:val="both"/>
        <w:rPr/>
      </w:pPr>
      <w:r w:rsidDel="00000000" w:rsidR="00000000" w:rsidRPr="00000000">
        <w:rPr>
          <w:rtl w:val="0"/>
        </w:rPr>
      </w:r>
    </w:p>
    <w:p w:rsidR="00000000" w:rsidDel="00000000" w:rsidP="00000000" w:rsidRDefault="00000000" w:rsidRPr="00000000">
      <w:pPr>
        <w:pBdr/>
        <w:ind w:left="426" w:firstLine="0"/>
        <w:contextualSpacing w:val="0"/>
        <w:jc w:val="both"/>
        <w:rPr/>
      </w:pPr>
      <w:r w:rsidDel="00000000" w:rsidR="00000000" w:rsidRPr="00000000">
        <w:rPr>
          <w:rtl w:val="0"/>
        </w:rPr>
        <w:t xml:space="preserve">El costo de participación en el programa es de USD 1100, con las siguientes reducciones:</w:t>
      </w:r>
    </w:p>
    <w:p w:rsidR="00000000" w:rsidDel="00000000" w:rsidP="00000000" w:rsidRDefault="00000000" w:rsidRPr="00000000">
      <w:pPr>
        <w:pBdr/>
        <w:ind w:left="426"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Los participantes que se encuentren estudiando un programa de pre o posgrado pagarán una tarifa reducida de USD 600.</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Los participantes que hayan egresado de uno de estos programas recientemente pagarán una tarifa de USD 700.</w:t>
      </w: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Además, cada miembro de la tripulación deberá hacer un depósito de USD 250 como garantía en caso de que durante su rotación se dañara las instalaciones o equipos. Este dinero es devuelto al final de la rotación de no haberse presentado algún inconveniente</w:t>
      </w:r>
      <w:r w:rsidDel="00000000" w:rsidR="00000000" w:rsidRPr="00000000">
        <w:rPr>
          <w:rtl w:val="0"/>
        </w:rPr>
      </w:r>
    </w:p>
    <w:p w:rsidR="00000000" w:rsidDel="00000000" w:rsidP="00000000" w:rsidRDefault="00000000" w:rsidRPr="00000000">
      <w:pPr>
        <w:keepNext w:val="0"/>
        <w:keepLines w:val="0"/>
        <w:widowControl w:val="0"/>
        <w:pBdr/>
        <w:tabs>
          <w:tab w:val="left" w:pos="5814"/>
        </w:tabs>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ab/>
      </w:r>
    </w:p>
    <w:p w:rsidR="00000000" w:rsidDel="00000000" w:rsidP="00000000" w:rsidRDefault="00000000" w:rsidRPr="00000000">
      <w:pPr>
        <w:keepNext w:val="0"/>
        <w:keepLines w:val="0"/>
        <w:widowControl w:val="0"/>
        <w:numPr>
          <w:ilvl w:val="0"/>
          <w:numId w:val="5"/>
        </w:numPr>
        <w:pBdr/>
        <w:spacing w:after="0" w:before="0" w:line="240" w:lineRule="auto"/>
        <w:ind w:left="426" w:right="0" w:hanging="360"/>
        <w:jc w:val="left"/>
        <w:rPr>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Documentos de postulación</w:t>
        <w:br w:type="textWrapping"/>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postulante debe presentar los siguientes documentos a los correos </w:t>
        <w:br w:type="textWrapping"/>
        <w:br w:type="textWrapping"/>
        <w:t xml:space="preserve">Peru y otros países : adolfo.ubidia@peru.marssociety.org</w:t>
      </w:r>
    </w:p>
    <w:p w:rsidR="00000000" w:rsidDel="00000000" w:rsidP="00000000" w:rsidRDefault="00000000" w:rsidRPr="00000000">
      <w:pPr>
        <w:keepNext w:val="0"/>
        <w:keepLines w:val="0"/>
        <w:widowControl w:val="0"/>
        <w:pBdr/>
        <w:spacing w:after="0" w:before="0" w:line="240" w:lineRule="auto"/>
        <w:ind w:left="216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elizabeth.centurion@peru.marssociety.org</w:t>
      </w:r>
    </w:p>
    <w:p w:rsidR="00000000" w:rsidDel="00000000" w:rsidP="00000000" w:rsidRDefault="00000000" w:rsidRPr="00000000">
      <w:pPr>
        <w:keepNext w:val="0"/>
        <w:keepLines w:val="0"/>
        <w:widowControl w:val="0"/>
        <w:pBdr/>
        <w:spacing w:after="0" w:before="0" w:line="240" w:lineRule="auto"/>
        <w:ind w:left="426"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Argentina: </w:t>
        <w:tab/>
        <w:tab/>
        <w:t xml:space="preserve">marcos.bruno@peru.marssociety.org</w:t>
      </w:r>
    </w:p>
    <w:p w:rsidR="00000000" w:rsidDel="00000000" w:rsidP="00000000" w:rsidRDefault="00000000" w:rsidRPr="00000000">
      <w:pPr>
        <w:keepNext w:val="0"/>
        <w:keepLines w:val="0"/>
        <w:widowControl w:val="0"/>
        <w:pBdr/>
        <w:spacing w:after="0" w:before="0" w:line="240" w:lineRule="auto"/>
        <w:ind w:left="426"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Colombia: </w:t>
        <w:tab/>
        <w:tab/>
        <w:t xml:space="preserve">luis.ibanez@peru.marssociety.org </w:t>
      </w:r>
    </w:p>
    <w:p w:rsidR="00000000" w:rsidDel="00000000" w:rsidP="00000000" w:rsidRDefault="00000000" w:rsidRPr="00000000">
      <w:pPr>
        <w:keepNext w:val="0"/>
        <w:keepLines w:val="0"/>
        <w:widowControl w:val="0"/>
        <w:pBdr/>
        <w:spacing w:after="0" w:before="0" w:line="240" w:lineRule="auto"/>
        <w:ind w:left="426"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Costa Rica: </w:t>
        <w:tab/>
        <w:tab/>
        <w:t xml:space="preserve">celeste.balladares@peru.marssociety.org</w:t>
        <w:br w:type="textWrapping"/>
        <w:tab/>
      </w:r>
    </w:p>
    <w:p w:rsidR="00000000" w:rsidDel="00000000" w:rsidP="00000000" w:rsidRDefault="00000000" w:rsidRPr="00000000">
      <w:pPr>
        <w:keepNext w:val="0"/>
        <w:keepLines w:val="0"/>
        <w:widowControl w:val="0"/>
        <w:pBdr/>
        <w:spacing w:after="0" w:before="0" w:line="240" w:lineRule="auto"/>
        <w:ind w:left="426" w:right="0" w:firstLine="0"/>
        <w:contextualSpacing w:val="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Formulario (Anexo 1) en inglés.</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Currículum vitae según formato de TMSP (Anexo 2 es recomendación).</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Certificado de idioma inglés intermedio o superior, y otros certificados que considere.</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Proyecto a realizar en formato de resumen estructurado según formato TMSP (anexo 2).</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Carta de recomendación personalizada.</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b w:val="1"/>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Documento simple donde el postulante asegure poder financiar o conseguir financiamiento para solventar su participación.</w:t>
      </w:r>
      <w:r w:rsidDel="00000000" w:rsidR="00000000" w:rsidRPr="00000000">
        <w:rPr>
          <w:rtl w:val="0"/>
        </w:rPr>
      </w:r>
    </w:p>
    <w:p w:rsidR="00000000" w:rsidDel="00000000" w:rsidP="00000000" w:rsidRDefault="00000000" w:rsidRPr="00000000">
      <w:pPr>
        <w:pBdr/>
        <w:ind w:left="491" w:firstLine="0"/>
        <w:contextualSpacing w:val="0"/>
        <w:jc w:val="both"/>
        <w:rPr/>
      </w:pPr>
      <w:r w:rsidDel="00000000" w:rsidR="00000000" w:rsidRPr="00000000">
        <w:rPr>
          <w:rtl w:val="0"/>
        </w:rPr>
        <w:br w:type="textWrapping"/>
        <w:t xml:space="preserve">Los documentos arriba mencionados deben presentarse en inglés y en formato .pdf.</w:t>
        <w:br w:type="textWrapping"/>
      </w:r>
    </w:p>
    <w:p w:rsidR="00000000" w:rsidDel="00000000" w:rsidP="00000000" w:rsidRDefault="00000000" w:rsidRPr="00000000">
      <w:pPr>
        <w:pBdr/>
        <w:ind w:left="491"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426" w:right="0" w:hanging="360"/>
        <w:jc w:val="both"/>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Proyecto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567" w:right="0" w:hanging="141"/>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Todos los miembros de la tripulación deberán desarrollar un proyecto que se probará en "Mars Desert Research Station (MDRS) en Utah, EE.UU., durante su estadía, será evaluado según su nivel de innovación, factibilidad, redacción, y pertinencia para la exploración y colonización de Marte. El proyecto debe cumplir los siguientes requerimientos:</w:t>
      </w:r>
    </w:p>
    <w:p w:rsidR="00000000" w:rsidDel="00000000" w:rsidP="00000000" w:rsidRDefault="00000000" w:rsidRPr="00000000">
      <w:pPr>
        <w:keepNext w:val="0"/>
        <w:keepLines w:val="0"/>
        <w:widowControl w:val="0"/>
        <w:pBdr/>
        <w:spacing w:after="0" w:before="0" w:line="240" w:lineRule="auto"/>
        <w:ind w:left="567" w:right="0" w:hanging="141"/>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Estar estructurado con una introducción, objetivos, métodos a usar y resultados esperados (Anexo 2).</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Ser extrapolable al planeta Marte, o relevante para su estudio.</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Demostrar el conocimiento del postulante sobre el tema que está proponiendo y utilizar referencias en el formato que desee (recomendación: usar formato Vancouver, APA). Evitar citar páginas web.</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Poder ser costeado parcial o totalmente por el postulante o una entidad que lo apoye. TMSP busca apoyar parcialmente con los costos de los proyectos, pero no garantiza ningún apoyo económico.</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Poder probarse durante las dos semanas de simulación. Esto es que pueda prepararse en el periodo previo al viaje a MDRS.</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Debe ajustarse a las normas dadas por The Mars Society y del estado de Utah. No incluir elementos peligrosos que puedan ser explosivos, corrosivos, o que puedan representar un peligro biológico, etc. </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Algunos proyectos pueden requerir de permisos especiales que deben tramitarse con las autoridades de Utah con suficiente anticipación, por ejemplo proyectos que requieran llevar equipos a más de 500 metros de altitud.</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851" w:right="0" w:hanging="283"/>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Los proyectos serán evaluados por un panel de expertos en áreas de ciencia y tecnología, así como por la directiva de TMSP para llegar a la decisión sobre qué proyectos sean los más aptos para su desarrollo en MDRS.</w:t>
      </w:r>
      <w:r w:rsidDel="00000000" w:rsidR="00000000" w:rsidRPr="00000000">
        <w:rPr>
          <w:rtl w:val="0"/>
        </w:rPr>
      </w:r>
    </w:p>
    <w:p w:rsidR="00000000" w:rsidDel="00000000" w:rsidP="00000000" w:rsidRDefault="00000000" w:rsidRPr="00000000">
      <w:pPr>
        <w:pBdr/>
        <w:ind w:left="426" w:hanging="284"/>
        <w:contextualSpacing w:val="0"/>
        <w:jc w:val="both"/>
        <w:rPr/>
      </w:pPr>
      <w:r w:rsidDel="00000000" w:rsidR="00000000" w:rsidRPr="00000000">
        <w:rPr>
          <w:rtl w:val="0"/>
        </w:rPr>
      </w:r>
    </w:p>
    <w:p w:rsidR="00000000" w:rsidDel="00000000" w:rsidP="00000000" w:rsidRDefault="00000000" w:rsidRPr="00000000">
      <w:pPr>
        <w:pBdr/>
        <w:ind w:left="426" w:hanging="284"/>
        <w:contextualSpacing w:val="0"/>
        <w:jc w:val="both"/>
        <w:rPr/>
      </w:pPr>
      <w:r w:rsidDel="00000000" w:rsidR="00000000" w:rsidRPr="00000000">
        <w:rPr>
          <w:rtl w:val="0"/>
        </w:rPr>
        <w:t xml:space="preserve">Nota:</w:t>
      </w:r>
    </w:p>
    <w:p w:rsidR="00000000" w:rsidDel="00000000" w:rsidP="00000000" w:rsidRDefault="00000000" w:rsidRPr="00000000">
      <w:pPr>
        <w:pBdr/>
        <w:ind w:left="426" w:hanging="284"/>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Es recomendable contar con un una persona con experiencia en el campo del proyecto, quien apoye al candidato durante el desarrollo y pruebas del proyecto.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5"/>
        </w:numPr>
        <w:pBdr/>
        <w:spacing w:after="0" w:before="0" w:line="240" w:lineRule="auto"/>
        <w:ind w:left="426" w:right="0" w:hanging="360"/>
        <w:jc w:val="both"/>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Entrevista personal</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hanging="284"/>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 entrevista busca dar una perspectiva sobre las personas que van a participar en esta simulación, como en una misión real, los miembros de la tripulación deben cumplir con algunos requisitos para ser seleccionados, lo cuales son los siguientes:</w:t>
      </w:r>
    </w:p>
    <w:p w:rsidR="00000000" w:rsidDel="00000000" w:rsidP="00000000" w:rsidRDefault="00000000" w:rsidRPr="00000000">
      <w:pPr>
        <w:keepNext w:val="0"/>
        <w:keepLines w:val="0"/>
        <w:widowControl w:val="0"/>
        <w:pBdr/>
        <w:spacing w:after="0" w:before="0" w:line="240" w:lineRule="auto"/>
        <w:ind w:left="426"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 entrevista será completamente en inglés. Esto es importante debido a que la comunicación con The Mars Society durante la simulación será en inglés.</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postulante deberá responder algunas preguntas sobre su proyecto, su formación y sobre sí mismo para demostrar que será una valiosa adición al equipo.</w:t>
      </w:r>
      <w:r w:rsidDel="00000000" w:rsidR="00000000" w:rsidRPr="00000000">
        <w:rPr>
          <w:rtl w:val="0"/>
        </w:rPr>
      </w:r>
    </w:p>
    <w:p w:rsidR="00000000" w:rsidDel="00000000" w:rsidP="00000000" w:rsidRDefault="00000000" w:rsidRPr="00000000">
      <w:pPr>
        <w:keepNext w:val="0"/>
        <w:keepLines w:val="0"/>
        <w:widowControl w:val="0"/>
        <w:numPr>
          <w:ilvl w:val="1"/>
          <w:numId w:val="5"/>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Detalles como la puntualidad y la actitud serán tomados en cuenta durante la entrevista.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426" w:firstLine="0"/>
        <w:contextualSpacing w:val="0"/>
        <w:jc w:val="both"/>
        <w:rPr/>
      </w:pPr>
      <w:r w:rsidDel="00000000" w:rsidR="00000000" w:rsidRPr="00000000">
        <w:rPr>
          <w:rtl w:val="0"/>
        </w:rPr>
        <w:t xml:space="preserve">El proceso de selección tomará aproximadamente un mes luego de cerrada la convocatoria, las personas seleccionadas deberán cumplir con los requisitos detallados a continuación para permanecer como parte de la tripulación. En caso de no cumplir con estos se deberá ceder el lugar a uno de los miembros de reserva.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seleccionado debe responder a la brevedad cuando reciba la notificación donde se informa que ha sido seleccionado como miembro de la tripulación.</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seleccionado debe asistir a las reuniones que se programen para coordinación de los preparativos para la simulación.</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seleccionado debe mantener un buen nivel de comunicación con los miembros de TMSP y de su propia tripulación, lo cual es importante para una preparación óptima.</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seleccionado deberá pagar el costo de USD 1000 en caso de ser profesional o USD 500 en caso de ser estudiante (costo de estadía en MDRS) a TMSP al menos con un mes de anticipación al inicio de la simulación.</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seleccionado debe mostrar avances de su proyecto debiendo tenerlo listo para su ejecución al menos dos semanas antes del inicio de la simulación.</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seleccionado debe haber comprado su pasaje a EE.UU. como máximo un mes antes del inicio de la simulación debiendo enviar a TMSP una copia de su itinerario mediante correo electrónico.</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color w:val="4a452a"/>
          <w:sz w:val="28"/>
          <w:szCs w:val="28"/>
        </w:rPr>
      </w:pPr>
      <w:r w:rsidDel="00000000" w:rsidR="00000000" w:rsidRPr="00000000">
        <w:rPr>
          <w:b w:val="1"/>
          <w:color w:val="4a452a"/>
          <w:sz w:val="28"/>
          <w:szCs w:val="28"/>
          <w:rtl w:val="0"/>
        </w:rPr>
        <w:t xml:space="preserve">CRONOGRAMA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 30 de mayo al 30 de Junio: Convocatoria y charlas en universidades.</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 30 de mayo al 30 de Junio: Recepción de documentos.</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Recepción de preguntas hasta 20 de junio.</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 01 al </w:t>
      </w:r>
      <w:r w:rsidDel="00000000" w:rsidR="00000000" w:rsidRPr="00000000">
        <w:rPr>
          <w:rtl w:val="0"/>
        </w:rPr>
        <w:t xml:space="preserve">07</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de Julio: Evaluación de proyectos por panel de mentores.</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 </w:t>
      </w:r>
      <w:r w:rsidDel="00000000" w:rsidR="00000000" w:rsidRPr="00000000">
        <w:rPr>
          <w:rtl w:val="0"/>
        </w:rPr>
        <w:t xml:space="preserve">08</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al </w:t>
      </w:r>
      <w:r w:rsidDel="00000000" w:rsidR="00000000" w:rsidRPr="00000000">
        <w:rPr>
          <w:rtl w:val="0"/>
        </w:rPr>
        <w:t xml:space="preserve">09</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de Julio: Selección de postulantes que pasan a entrevistas.</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 </w:t>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al </w:t>
      </w:r>
      <w:r w:rsidDel="00000000" w:rsidR="00000000" w:rsidRPr="00000000">
        <w:rPr>
          <w:rtl w:val="0"/>
        </w:rPr>
        <w:t xml:space="preserve">16</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de Julio: Entrevistas, y proceso de selección final.</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left"/>
        <w:rPr/>
      </w:pPr>
      <w:r w:rsidDel="00000000" w:rsidR="00000000" w:rsidRPr="00000000">
        <w:rPr>
          <w:rtl w:val="0"/>
        </w:rPr>
        <w:t xml:space="preserve">Del 17 al 20 de Julio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Selección oficial y envío de cartas de aceptación.</w:t>
        <w:br w:type="textWrapping"/>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Entre Agosto y Noviembre: Pruebas de proyectos y búsqueda de financiamiento. Pasajes y costo de participación deben ser pagados en este periodo.</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Fecha máxima para realizar los pagos: 30 de Noviembre. </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Setiembre: Taller de inducción con asistencia obligatoria. Fecha y lugar por </w:t>
      </w:r>
      <w:commentRangeStart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definir.</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Hasta el 30 de Noviembre: presentar avances de los proyectos y llenar formularios de proyecto para TMS. Cualquier permiso debe estar tramitado para esta fecha.</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Diciembre: correcciones y mejoras de proyecto, línea final.</w:t>
      </w:r>
      <w:r w:rsidDel="00000000" w:rsidR="00000000" w:rsidRPr="00000000">
        <w:rPr>
          <w:rtl w:val="0"/>
        </w:rPr>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 13 de enero al 28 de enero: Misión a Marte.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dolfo" w:id="0" w:date="2017-05-27T14:00:0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 solo taller para ambos grupos o por separado?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144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720" w:line="276" w:lineRule="auto"/>
      <w:ind w:left="0" w:right="0" w:firstLine="0"/>
      <w:contextualSpacing w:val="0"/>
      <w:jc w:val="left"/>
      <w:rPr/>
    </w:pPr>
    <w:r w:rsidDel="00000000" w:rsidR="00000000" w:rsidRPr="00000000">
      <w:rPr>
        <w:rtl w:val="0"/>
      </w:rPr>
    </w:r>
  </w:p>
  <w:tbl>
    <w:tblPr>
      <w:tblStyle w:val="Table1"/>
      <w:bidiVisual w:val="0"/>
      <w:tblW w:w="9590.0" w:type="dxa"/>
      <w:jc w:val="left"/>
      <w:tblInd w:w="-230.0" w:type="dxa"/>
      <w:tblLayout w:type="fixed"/>
      <w:tblLook w:val="0400"/>
    </w:tblPr>
    <w:tblGrid>
      <w:gridCol w:w="6713"/>
      <w:gridCol w:w="2877"/>
      <w:tblGridChange w:id="0">
        <w:tblGrid>
          <w:gridCol w:w="6713"/>
          <w:gridCol w:w="2877"/>
        </w:tblGrid>
      </w:tblGridChange>
    </w:tblGrid>
    <w:tr>
      <w:tc>
        <w:tcPr>
          <w:tcBorders>
            <w:bottom w:color="000000" w:space="0" w:sz="4" w:val="single"/>
          </w:tcBorders>
          <w:vAlign w:val="bottom"/>
        </w:tcPr>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76923c"/>
              <w:sz w:val="24"/>
              <w:szCs w:val="24"/>
              <w:u w:val="none"/>
              <w:vertAlign w:val="baseline"/>
            </w:rPr>
          </w:pPr>
          <w:r w:rsidDel="00000000" w:rsidR="00000000" w:rsidRPr="00000000">
            <w:drawing>
              <wp:inline distB="0" distT="0" distL="0" distR="0">
                <wp:extent cx="2814198" cy="73692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814198" cy="736923"/>
                        </a:xfrm>
                        <a:prstGeom prst="rect"/>
                        <a:ln/>
                      </pic:spPr>
                    </pic:pic>
                  </a:graphicData>
                </a:graphic>
              </wp:inline>
            </w:drawing>
          </w:r>
          <w:r w:rsidDel="00000000" w:rsidR="00000000" w:rsidRPr="00000000">
            <w:rPr>
              <w:rtl w:val="0"/>
            </w:rPr>
          </w:r>
        </w:p>
      </w:tc>
      <w:tc>
        <w:tcPr>
          <w:tcBorders>
            <w:bottom w:color="943734" w:space="0" w:sz="4" w:val="single"/>
          </w:tcBorders>
          <w:shd w:fill="943734"/>
          <w:vAlign w:val="center"/>
        </w:tcPr>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center"/>
            <w:rPr>
              <w:rFonts w:ascii="Cambria" w:cs="Cambria" w:eastAsia="Cambria" w:hAnsi="Cambria"/>
              <w:b w:val="1"/>
              <w:i w:val="0"/>
              <w:smallCaps w:val="0"/>
              <w:strike w:val="0"/>
              <w:color w:val="ffffff"/>
              <w:sz w:val="56"/>
              <w:szCs w:val="56"/>
              <w:u w:val="none"/>
              <w:vertAlign w:val="baseline"/>
            </w:rPr>
          </w:pPr>
          <w:r w:rsidDel="00000000" w:rsidR="00000000" w:rsidRPr="00000000">
            <w:rPr>
              <w:rFonts w:ascii="Cambria" w:cs="Cambria" w:eastAsia="Cambria" w:hAnsi="Cambria"/>
              <w:b w:val="1"/>
              <w:i w:val="0"/>
              <w:smallCaps w:val="0"/>
              <w:strike w:val="0"/>
              <w:color w:val="ffffff"/>
              <w:sz w:val="56"/>
              <w:szCs w:val="56"/>
              <w:u w:val="none"/>
              <w:vertAlign w:val="baseline"/>
              <w:rtl w:val="0"/>
            </w:rPr>
            <w:t xml:space="preserve">2017 </w:t>
          </w:r>
        </w:p>
      </w:tc>
    </w:tr>
  </w:tbl>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abstractNum w:abstractNumId="2">
    <w:lvl w:ilvl="0">
      <w:start w:val="1"/>
      <w:numFmt w:val="bullet"/>
      <w:lvlText w:val="o"/>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
    <w:lvl w:ilvl="0">
      <w:start w:val="1"/>
      <w:numFmt w:val="bullet"/>
      <w:lvlText w:val="o"/>
      <w:lvlJc w:val="left"/>
      <w:pPr>
        <w:ind w:left="1800" w:firstLine="3240"/>
      </w:pPr>
      <w:rPr>
        <w:rFonts w:ascii="Arial" w:cs="Arial" w:eastAsia="Arial" w:hAnsi="Arial"/>
      </w:rPr>
    </w:lvl>
    <w:lvl w:ilvl="1">
      <w:start w:val="1"/>
      <w:numFmt w:val="bullet"/>
      <w:lvlText w:val="o"/>
      <w:lvlJc w:val="left"/>
      <w:pPr>
        <w:ind w:left="2520" w:firstLine="4680"/>
      </w:pPr>
      <w:rPr>
        <w:rFonts w:ascii="Arial" w:cs="Arial" w:eastAsia="Arial" w:hAnsi="Arial"/>
      </w:rPr>
    </w:lvl>
    <w:lvl w:ilvl="2">
      <w:start w:val="1"/>
      <w:numFmt w:val="bullet"/>
      <w:lvlText w:val="▪"/>
      <w:lvlJc w:val="left"/>
      <w:pPr>
        <w:ind w:left="3240" w:firstLine="6120"/>
      </w:pPr>
      <w:rPr>
        <w:rFonts w:ascii="Arial" w:cs="Arial" w:eastAsia="Arial" w:hAnsi="Arial"/>
      </w:rPr>
    </w:lvl>
    <w:lvl w:ilvl="3">
      <w:start w:val="1"/>
      <w:numFmt w:val="bullet"/>
      <w:lvlText w:val="●"/>
      <w:lvlJc w:val="left"/>
      <w:pPr>
        <w:ind w:left="3960" w:firstLine="7560"/>
      </w:pPr>
      <w:rPr>
        <w:rFonts w:ascii="Arial" w:cs="Arial" w:eastAsia="Arial" w:hAnsi="Arial"/>
      </w:rPr>
    </w:lvl>
    <w:lvl w:ilvl="4">
      <w:start w:val="1"/>
      <w:numFmt w:val="bullet"/>
      <w:lvlText w:val="o"/>
      <w:lvlJc w:val="left"/>
      <w:pPr>
        <w:ind w:left="4680" w:firstLine="9000"/>
      </w:pPr>
      <w:rPr>
        <w:rFonts w:ascii="Arial" w:cs="Arial" w:eastAsia="Arial" w:hAnsi="Arial"/>
      </w:rPr>
    </w:lvl>
    <w:lvl w:ilvl="5">
      <w:start w:val="1"/>
      <w:numFmt w:val="bullet"/>
      <w:lvlText w:val="▪"/>
      <w:lvlJc w:val="left"/>
      <w:pPr>
        <w:ind w:left="5400" w:firstLine="10440"/>
      </w:pPr>
      <w:rPr>
        <w:rFonts w:ascii="Arial" w:cs="Arial" w:eastAsia="Arial" w:hAnsi="Arial"/>
      </w:rPr>
    </w:lvl>
    <w:lvl w:ilvl="6">
      <w:start w:val="1"/>
      <w:numFmt w:val="bullet"/>
      <w:lvlText w:val="●"/>
      <w:lvlJc w:val="left"/>
      <w:pPr>
        <w:ind w:left="6120" w:firstLine="11880"/>
      </w:pPr>
      <w:rPr>
        <w:rFonts w:ascii="Arial" w:cs="Arial" w:eastAsia="Arial" w:hAnsi="Arial"/>
      </w:rPr>
    </w:lvl>
    <w:lvl w:ilvl="7">
      <w:start w:val="1"/>
      <w:numFmt w:val="bullet"/>
      <w:lvlText w:val="o"/>
      <w:lvlJc w:val="left"/>
      <w:pPr>
        <w:ind w:left="6840" w:firstLine="13320"/>
      </w:pPr>
      <w:rPr>
        <w:rFonts w:ascii="Arial" w:cs="Arial" w:eastAsia="Arial" w:hAnsi="Arial"/>
      </w:rPr>
    </w:lvl>
    <w:lvl w:ilvl="8">
      <w:start w:val="1"/>
      <w:numFmt w:val="bullet"/>
      <w:lvlText w:val="▪"/>
      <w:lvlJc w:val="left"/>
      <w:pPr>
        <w:ind w:left="7560" w:firstLine="14760"/>
      </w:pPr>
      <w:rPr>
        <w:rFonts w:ascii="Arial" w:cs="Arial" w:eastAsia="Arial" w:hAnsi="Arial"/>
      </w:rPr>
    </w:lvl>
  </w:abstractNum>
  <w:abstractNum w:abstractNumId="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
    <w:lvl w:ilvl="0">
      <w:start w:val="1"/>
      <w:numFmt w:val="bullet"/>
      <w:lvlText w:val="✦"/>
      <w:lvlJc w:val="left"/>
      <w:pPr>
        <w:ind w:left="1440" w:firstLine="2520"/>
      </w:pPr>
      <w:rPr>
        <w:rFonts w:ascii="Arial" w:cs="Arial" w:eastAsia="Arial" w:hAnsi="Arial"/>
      </w:rPr>
    </w:lvl>
    <w:lvl w:ilvl="1">
      <w:start w:val="1"/>
      <w:numFmt w:val="bullet"/>
      <w:lvlText w:val="o"/>
      <w:lvlJc w:val="left"/>
      <w:pPr>
        <w:ind w:left="2160" w:firstLine="3960"/>
      </w:pPr>
      <w:rPr>
        <w:rFonts w:ascii="Arial" w:cs="Arial" w:eastAsia="Arial" w:hAnsi="Arial"/>
      </w:rPr>
    </w:lvl>
    <w:lvl w:ilvl="2">
      <w:start w:val="1"/>
      <w:numFmt w:val="bullet"/>
      <w:lvlText w:val="▪"/>
      <w:lvlJc w:val="left"/>
      <w:pPr>
        <w:ind w:left="2880" w:firstLine="5400"/>
      </w:pPr>
      <w:rPr>
        <w:rFonts w:ascii="Arial" w:cs="Arial" w:eastAsia="Arial" w:hAnsi="Arial"/>
      </w:rPr>
    </w:lvl>
    <w:lvl w:ilvl="3">
      <w:start w:val="1"/>
      <w:numFmt w:val="bullet"/>
      <w:lvlText w:val="●"/>
      <w:lvlJc w:val="left"/>
      <w:pPr>
        <w:ind w:left="3600" w:firstLine="6840"/>
      </w:pPr>
      <w:rPr>
        <w:rFonts w:ascii="Arial" w:cs="Arial" w:eastAsia="Arial" w:hAnsi="Arial"/>
      </w:rPr>
    </w:lvl>
    <w:lvl w:ilvl="4">
      <w:start w:val="1"/>
      <w:numFmt w:val="bullet"/>
      <w:lvlText w:val="o"/>
      <w:lvlJc w:val="left"/>
      <w:pPr>
        <w:ind w:left="4320" w:firstLine="8280"/>
      </w:pPr>
      <w:rPr>
        <w:rFonts w:ascii="Arial" w:cs="Arial" w:eastAsia="Arial" w:hAnsi="Arial"/>
      </w:rPr>
    </w:lvl>
    <w:lvl w:ilvl="5">
      <w:start w:val="1"/>
      <w:numFmt w:val="bullet"/>
      <w:lvlText w:val="▪"/>
      <w:lvlJc w:val="left"/>
      <w:pPr>
        <w:ind w:left="5040" w:firstLine="9720"/>
      </w:pPr>
      <w:rPr>
        <w:rFonts w:ascii="Arial" w:cs="Arial" w:eastAsia="Arial" w:hAnsi="Arial"/>
      </w:rPr>
    </w:lvl>
    <w:lvl w:ilvl="6">
      <w:start w:val="1"/>
      <w:numFmt w:val="bullet"/>
      <w:lvlText w:val="●"/>
      <w:lvlJc w:val="left"/>
      <w:pPr>
        <w:ind w:left="5760" w:firstLine="11160"/>
      </w:pPr>
      <w:rPr>
        <w:rFonts w:ascii="Arial" w:cs="Arial" w:eastAsia="Arial" w:hAnsi="Arial"/>
      </w:rPr>
    </w:lvl>
    <w:lvl w:ilvl="7">
      <w:start w:val="1"/>
      <w:numFmt w:val="bullet"/>
      <w:lvlText w:val="o"/>
      <w:lvlJc w:val="left"/>
      <w:pPr>
        <w:ind w:left="6480" w:firstLine="12600"/>
      </w:pPr>
      <w:rPr>
        <w:rFonts w:ascii="Arial" w:cs="Arial" w:eastAsia="Arial" w:hAnsi="Arial"/>
      </w:rPr>
    </w:lvl>
    <w:lvl w:ilvl="8">
      <w:start w:val="1"/>
      <w:numFmt w:val="bullet"/>
      <w:lvlText w:val="▪"/>
      <w:lvlJc w:val="left"/>
      <w:pPr>
        <w:ind w:left="7200" w:firstLine="140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